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A8" w:rsidRDefault="00F227A8">
      <w:pPr>
        <w:adjustRightInd w:val="0"/>
        <w:snapToGrid w:val="0"/>
        <w:rPr>
          <w:rFonts w:eastAsia="黑体"/>
          <w:bCs/>
          <w:sz w:val="32"/>
          <w:szCs w:val="32"/>
        </w:rPr>
      </w:pPr>
      <w:bookmarkStart w:id="0" w:name="OLE_LINK5"/>
      <w:bookmarkStart w:id="1" w:name="OLE_LINK6"/>
      <w:bookmarkStart w:id="2" w:name="_GoBack"/>
      <w:bookmarkEnd w:id="2"/>
    </w:p>
    <w:p w:rsidR="00F227A8" w:rsidRDefault="00D9733D">
      <w:pPr>
        <w:spacing w:line="540" w:lineRule="exact"/>
        <w:jc w:val="center"/>
        <w:rPr>
          <w:rFonts w:eastAsia="华文中宋"/>
          <w:sz w:val="36"/>
          <w:szCs w:val="36"/>
        </w:rPr>
      </w:pPr>
      <w:r>
        <w:rPr>
          <w:rFonts w:eastAsia="华文中宋"/>
          <w:b/>
          <w:bCs/>
          <w:sz w:val="36"/>
          <w:szCs w:val="36"/>
        </w:rPr>
        <w:t>交存保证金数额、违约金比例标准及有关说明</w:t>
      </w:r>
    </w:p>
    <w:p w:rsidR="00F227A8" w:rsidRDefault="00D9733D">
      <w:pPr>
        <w:numPr>
          <w:ilvl w:val="0"/>
          <w:numId w:val="1"/>
        </w:numPr>
        <w:spacing w:line="540" w:lineRule="exact"/>
        <w:jc w:val="left"/>
        <w:rPr>
          <w:rStyle w:val="font91"/>
          <w:rFonts w:eastAsia="黑体"/>
          <w:sz w:val="32"/>
          <w:szCs w:val="32"/>
        </w:rPr>
      </w:pPr>
      <w:r>
        <w:rPr>
          <w:rStyle w:val="font91"/>
          <w:rFonts w:eastAsia="黑体"/>
          <w:sz w:val="32"/>
          <w:szCs w:val="32"/>
        </w:rPr>
        <w:t>对保证金数额及违约金比例的说明：</w:t>
      </w:r>
    </w:p>
    <w:p w:rsidR="00F227A8" w:rsidRDefault="00D9733D">
      <w:pPr>
        <w:numPr>
          <w:ilvl w:val="0"/>
          <w:numId w:val="2"/>
        </w:numPr>
        <w:spacing w:line="540" w:lineRule="exact"/>
        <w:ind w:firstLineChars="200" w:firstLine="640"/>
        <w:jc w:val="left"/>
        <w:rPr>
          <w:rStyle w:val="font91"/>
          <w:rFonts w:eastAsia="仿宋"/>
          <w:sz w:val="32"/>
          <w:szCs w:val="32"/>
        </w:rPr>
      </w:pPr>
      <w:r>
        <w:rPr>
          <w:rStyle w:val="font91"/>
          <w:rFonts w:eastAsia="仿宋"/>
          <w:sz w:val="32"/>
          <w:szCs w:val="32"/>
        </w:rPr>
        <w:t>出国期限为</w:t>
      </w:r>
      <w:r>
        <w:rPr>
          <w:rStyle w:val="font91"/>
          <w:rFonts w:eastAsia="仿宋"/>
          <w:sz w:val="32"/>
          <w:szCs w:val="32"/>
        </w:rPr>
        <w:t>3</w:t>
      </w:r>
      <w:r>
        <w:rPr>
          <w:rStyle w:val="font91"/>
          <w:rFonts w:eastAsia="仿宋"/>
          <w:sz w:val="32"/>
          <w:szCs w:val="32"/>
        </w:rPr>
        <w:t>个月以内（含</w:t>
      </w:r>
      <w:r>
        <w:rPr>
          <w:rStyle w:val="font91"/>
          <w:rFonts w:eastAsia="仿宋"/>
          <w:sz w:val="32"/>
          <w:szCs w:val="32"/>
        </w:rPr>
        <w:t>3</w:t>
      </w:r>
      <w:r>
        <w:rPr>
          <w:rStyle w:val="font91"/>
          <w:rFonts w:eastAsia="仿宋"/>
          <w:sz w:val="32"/>
          <w:szCs w:val="32"/>
        </w:rPr>
        <w:t>个月）的访学人员免交保证金。</w:t>
      </w:r>
      <w:r>
        <w:rPr>
          <w:rFonts w:eastAsia="仿宋"/>
          <w:sz w:val="32"/>
          <w:szCs w:val="32"/>
        </w:rPr>
        <w:br/>
        <w:t xml:space="preserve">    2. </w:t>
      </w:r>
      <w:r>
        <w:rPr>
          <w:rStyle w:val="font91"/>
          <w:rFonts w:eastAsia="仿宋"/>
          <w:sz w:val="32"/>
          <w:szCs w:val="32"/>
        </w:rPr>
        <w:t>出国期限为</w:t>
      </w:r>
      <w:r>
        <w:rPr>
          <w:rStyle w:val="font91"/>
          <w:rFonts w:eastAsia="仿宋"/>
          <w:sz w:val="32"/>
          <w:szCs w:val="32"/>
        </w:rPr>
        <w:t>3</w:t>
      </w:r>
      <w:r>
        <w:rPr>
          <w:rStyle w:val="font91"/>
          <w:rFonts w:eastAsia="仿宋"/>
          <w:sz w:val="32"/>
          <w:szCs w:val="32"/>
        </w:rPr>
        <w:t>个月以上的高级研究学者和访问学者，</w:t>
      </w:r>
      <w:proofErr w:type="gramStart"/>
      <w:r>
        <w:rPr>
          <w:rStyle w:val="font91"/>
          <w:rFonts w:eastAsia="仿宋"/>
          <w:sz w:val="32"/>
          <w:szCs w:val="32"/>
        </w:rPr>
        <w:t>交保证</w:t>
      </w:r>
      <w:proofErr w:type="gramEnd"/>
      <w:r>
        <w:rPr>
          <w:rStyle w:val="font91"/>
          <w:rFonts w:eastAsia="仿宋"/>
          <w:sz w:val="32"/>
          <w:szCs w:val="32"/>
        </w:rPr>
        <w:t xml:space="preserve">  </w:t>
      </w:r>
      <w:r>
        <w:rPr>
          <w:rStyle w:val="font91"/>
          <w:rFonts w:eastAsia="仿宋"/>
          <w:sz w:val="32"/>
          <w:szCs w:val="32"/>
        </w:rPr>
        <w:t>金数额详见附表。</w:t>
      </w:r>
      <w:r>
        <w:rPr>
          <w:rFonts w:eastAsia="仿宋"/>
          <w:sz w:val="32"/>
          <w:szCs w:val="32"/>
        </w:rPr>
        <w:br/>
        <w:t xml:space="preserve">    3. </w:t>
      </w:r>
      <w:r>
        <w:rPr>
          <w:rStyle w:val="font91"/>
          <w:rFonts w:eastAsia="仿宋"/>
          <w:sz w:val="32"/>
          <w:szCs w:val="32"/>
        </w:rPr>
        <w:t>对不按照规定时间提交访学情况报告（经催索后</w:t>
      </w:r>
      <w:r>
        <w:rPr>
          <w:rStyle w:val="font91"/>
          <w:rFonts w:eastAsia="仿宋"/>
          <w:sz w:val="32"/>
          <w:szCs w:val="32"/>
        </w:rPr>
        <w:t>20</w:t>
      </w:r>
      <w:r>
        <w:rPr>
          <w:rStyle w:val="font91"/>
          <w:rFonts w:eastAsia="仿宋"/>
          <w:sz w:val="32"/>
          <w:szCs w:val="32"/>
        </w:rPr>
        <w:t>天内仍不提交）、擅自变更访学国家和访学身份、从事与访学计划无关的劳务性活动或逾期三个月以上回国的违约访学人员，违约金比例均为</w:t>
      </w:r>
      <w:r>
        <w:rPr>
          <w:rStyle w:val="font91"/>
          <w:rFonts w:eastAsia="仿宋"/>
          <w:sz w:val="32"/>
          <w:szCs w:val="32"/>
        </w:rPr>
        <w:t>30%</w:t>
      </w:r>
      <w:r>
        <w:rPr>
          <w:rStyle w:val="font91"/>
          <w:rFonts w:eastAsia="仿宋"/>
          <w:sz w:val="32"/>
          <w:szCs w:val="32"/>
        </w:rPr>
        <w:t>。对逾期一个月以上（不含一个月）、三个月以内回国的访学人员，违约金标准均为</w:t>
      </w:r>
      <w:r>
        <w:rPr>
          <w:rStyle w:val="font91"/>
          <w:rFonts w:eastAsia="仿宋"/>
          <w:sz w:val="32"/>
          <w:szCs w:val="32"/>
        </w:rPr>
        <w:t>20%</w:t>
      </w:r>
      <w:r>
        <w:rPr>
          <w:rStyle w:val="font91"/>
          <w:rFonts w:eastAsia="仿宋"/>
          <w:sz w:val="32"/>
          <w:szCs w:val="32"/>
        </w:rPr>
        <w:t>。</w:t>
      </w:r>
    </w:p>
    <w:p w:rsidR="00F227A8" w:rsidRDefault="00D9733D">
      <w:pPr>
        <w:numPr>
          <w:ilvl w:val="0"/>
          <w:numId w:val="1"/>
        </w:numPr>
        <w:spacing w:line="540" w:lineRule="exact"/>
        <w:ind w:firstLineChars="200" w:firstLine="640"/>
        <w:jc w:val="left"/>
        <w:rPr>
          <w:rStyle w:val="font91"/>
          <w:rFonts w:eastAsia="黑体"/>
          <w:sz w:val="32"/>
          <w:szCs w:val="32"/>
        </w:rPr>
      </w:pPr>
      <w:r>
        <w:rPr>
          <w:rStyle w:val="font91"/>
          <w:rFonts w:eastAsia="黑体"/>
          <w:sz w:val="32"/>
          <w:szCs w:val="32"/>
        </w:rPr>
        <w:t>对国家类别的说明</w:t>
      </w:r>
      <w:r>
        <w:rPr>
          <w:rStyle w:val="font91"/>
          <w:rFonts w:eastAsia="黑体"/>
          <w:sz w:val="32"/>
          <w:szCs w:val="32"/>
        </w:rPr>
        <w:t>:</w:t>
      </w:r>
    </w:p>
    <w:p w:rsidR="00F227A8" w:rsidRDefault="00D9733D">
      <w:pPr>
        <w:numPr>
          <w:ilvl w:val="0"/>
          <w:numId w:val="3"/>
        </w:numPr>
        <w:spacing w:line="540" w:lineRule="exact"/>
        <w:ind w:firstLineChars="200" w:firstLine="640"/>
        <w:jc w:val="left"/>
        <w:rPr>
          <w:rFonts w:eastAsia="仿宋"/>
          <w:sz w:val="32"/>
          <w:szCs w:val="32"/>
        </w:rPr>
      </w:pPr>
      <w:r>
        <w:rPr>
          <w:rStyle w:val="font91"/>
          <w:rFonts w:eastAsia="仿宋"/>
          <w:sz w:val="32"/>
          <w:szCs w:val="32"/>
        </w:rPr>
        <w:t>一类国家：</w:t>
      </w:r>
      <w:r>
        <w:rPr>
          <w:rFonts w:eastAsia="仿宋"/>
          <w:sz w:val="32"/>
          <w:szCs w:val="32"/>
        </w:rPr>
        <w:br/>
      </w:r>
      <w:r>
        <w:rPr>
          <w:rStyle w:val="font91"/>
          <w:rFonts w:eastAsia="仿宋"/>
          <w:sz w:val="32"/>
          <w:szCs w:val="32"/>
        </w:rPr>
        <w:t>美国、加拿大、澳大利亚、新西兰、英国、法国、德国、意大利、瑞士、比利时、奥地利、瑞典、荷兰、丹麦、冰岛、挪威、芬兰、西班牙、葡萄牙、爱尔兰、希腊、日本、新加坡、韩国</w:t>
      </w:r>
      <w:r>
        <w:rPr>
          <w:rFonts w:eastAsia="仿宋"/>
          <w:sz w:val="32"/>
          <w:szCs w:val="32"/>
        </w:rPr>
        <w:br/>
        <w:t xml:space="preserve">    2. </w:t>
      </w:r>
      <w:r>
        <w:rPr>
          <w:rStyle w:val="font91"/>
          <w:rFonts w:eastAsia="仿宋"/>
          <w:sz w:val="32"/>
          <w:szCs w:val="32"/>
        </w:rPr>
        <w:t>二类国家：</w:t>
      </w:r>
      <w:r>
        <w:rPr>
          <w:rFonts w:eastAsia="仿宋"/>
          <w:sz w:val="32"/>
          <w:szCs w:val="32"/>
        </w:rPr>
        <w:br/>
      </w:r>
      <w:r>
        <w:rPr>
          <w:rStyle w:val="font91"/>
          <w:rFonts w:eastAsia="仿宋"/>
          <w:sz w:val="32"/>
          <w:szCs w:val="32"/>
        </w:rPr>
        <w:t>俄罗斯、白俄罗斯、乌克兰、保加利亚、罗马利亚、匈牙利、波兰、捷克、斯洛伐克、南斯拉夫、克罗地亚、斯洛文尼亚、阿尔巴尼亚、乌兹</w:t>
      </w:r>
      <w:proofErr w:type="gramStart"/>
      <w:r>
        <w:rPr>
          <w:rStyle w:val="font91"/>
          <w:rFonts w:eastAsia="仿宋"/>
          <w:sz w:val="32"/>
          <w:szCs w:val="32"/>
        </w:rPr>
        <w:t>别客斯</w:t>
      </w:r>
      <w:proofErr w:type="gramEnd"/>
      <w:r>
        <w:rPr>
          <w:rStyle w:val="font91"/>
          <w:rFonts w:eastAsia="仿宋"/>
          <w:sz w:val="32"/>
          <w:szCs w:val="32"/>
        </w:rPr>
        <w:t>坦、土库曼斯坦、哈萨克斯坦、吉尔吉斯坦、拉托维亚、马其顿、爱沙尼亚、格鲁吉亚、阿塞拜疆、亚美尼亚、立陶宛、摩尔多瓦、塔吉克斯坦、哥伦比亚、智利、阿根廷、巴西、</w:t>
      </w:r>
      <w:r>
        <w:rPr>
          <w:rStyle w:val="font91"/>
          <w:rFonts w:eastAsia="仿宋"/>
          <w:sz w:val="32"/>
          <w:szCs w:val="32"/>
        </w:rPr>
        <w:t>墨西哥、厄瓜多尔、秘鲁、古巴、玻利维亚、印度尼西亚、泰国、菲律宾、孟加拉、斯里兰卡、</w:t>
      </w:r>
      <w:r>
        <w:rPr>
          <w:rStyle w:val="font91"/>
          <w:rFonts w:eastAsia="仿宋"/>
          <w:sz w:val="32"/>
          <w:szCs w:val="32"/>
        </w:rPr>
        <w:lastRenderedPageBreak/>
        <w:t>尼泊尔、叙利亚、越南、巴基斯坦、蒙古、老挝、朝鲜、印度、缅甸、塞浦路斯、土耳其、以色列、埃及、科威特、南非、摩洛哥、喀麦隆、突尼斯、阿尔吉利亚、肯尼亚、坦桑尼亚、加蓬、埃塞俄比亚</w:t>
      </w:r>
    </w:p>
    <w:p w:rsidR="00F227A8" w:rsidRDefault="00D9733D">
      <w:pPr>
        <w:spacing w:beforeLines="50" w:before="156" w:line="240" w:lineRule="atLeast"/>
        <w:jc w:val="left"/>
        <w:rPr>
          <w:rStyle w:val="font91"/>
          <w:rFonts w:eastAsia="仿宋"/>
          <w:sz w:val="32"/>
          <w:szCs w:val="32"/>
        </w:rPr>
      </w:pPr>
      <w:r>
        <w:rPr>
          <w:rStyle w:val="font91"/>
          <w:rFonts w:eastAsia="仿宋"/>
          <w:sz w:val="32"/>
          <w:szCs w:val="32"/>
        </w:rPr>
        <w:t>附表：单位：人民币元</w:t>
      </w:r>
    </w:p>
    <w:tbl>
      <w:tblPr>
        <w:tblW w:w="8356"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63"/>
        <w:gridCol w:w="1844"/>
        <w:gridCol w:w="1645"/>
        <w:gridCol w:w="1844"/>
        <w:gridCol w:w="1660"/>
      </w:tblGrid>
      <w:tr w:rsidR="00F227A8">
        <w:trPr>
          <w:trHeight w:val="585"/>
          <w:tblCellSpacing w:w="15" w:type="dxa"/>
        </w:trPr>
        <w:tc>
          <w:tcPr>
            <w:tcW w:w="1318" w:type="dxa"/>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center"/>
              <w:rPr>
                <w:rStyle w:val="font91"/>
                <w:rFonts w:eastAsia="黑体"/>
                <w:sz w:val="28"/>
                <w:szCs w:val="28"/>
              </w:rPr>
            </w:pPr>
            <w:r>
              <w:rPr>
                <w:rStyle w:val="font91"/>
                <w:rFonts w:eastAsia="黑体"/>
                <w:sz w:val="28"/>
                <w:szCs w:val="28"/>
              </w:rPr>
              <w:t>国内地区</w:t>
            </w:r>
          </w:p>
        </w:tc>
        <w:tc>
          <w:tcPr>
            <w:tcW w:w="3459" w:type="dxa"/>
            <w:gridSpan w:val="2"/>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center"/>
              <w:rPr>
                <w:rStyle w:val="font91"/>
                <w:rFonts w:eastAsia="黑体"/>
                <w:sz w:val="28"/>
                <w:szCs w:val="28"/>
              </w:rPr>
            </w:pPr>
            <w:r>
              <w:rPr>
                <w:rStyle w:val="font91"/>
                <w:rFonts w:eastAsia="黑体"/>
                <w:sz w:val="28"/>
                <w:szCs w:val="28"/>
              </w:rPr>
              <w:t>赴一类国家交保证金数额</w:t>
            </w:r>
          </w:p>
        </w:tc>
        <w:tc>
          <w:tcPr>
            <w:tcW w:w="3459" w:type="dxa"/>
            <w:gridSpan w:val="2"/>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center"/>
              <w:rPr>
                <w:rStyle w:val="font91"/>
                <w:rFonts w:eastAsia="黑体"/>
                <w:sz w:val="28"/>
                <w:szCs w:val="28"/>
              </w:rPr>
            </w:pPr>
            <w:r>
              <w:rPr>
                <w:rStyle w:val="font91"/>
                <w:rFonts w:eastAsia="黑体"/>
                <w:sz w:val="28"/>
                <w:szCs w:val="28"/>
              </w:rPr>
              <w:t>赴二类国家交保证金数额</w:t>
            </w:r>
          </w:p>
        </w:tc>
      </w:tr>
      <w:tr w:rsidR="00F227A8">
        <w:trPr>
          <w:trHeight w:val="608"/>
          <w:tblCellSpacing w:w="15" w:type="dxa"/>
        </w:trPr>
        <w:tc>
          <w:tcPr>
            <w:tcW w:w="1318" w:type="dxa"/>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left"/>
              <w:rPr>
                <w:rStyle w:val="font91"/>
                <w:rFonts w:eastAsia="仿宋"/>
                <w:sz w:val="28"/>
                <w:szCs w:val="28"/>
              </w:rPr>
            </w:pPr>
            <w:r>
              <w:rPr>
                <w:rStyle w:val="font91"/>
                <w:rFonts w:eastAsia="仿宋"/>
                <w:sz w:val="28"/>
                <w:szCs w:val="28"/>
              </w:rPr>
              <w:t>时间</w:t>
            </w:r>
          </w:p>
        </w:tc>
        <w:tc>
          <w:tcPr>
            <w:tcW w:w="1814" w:type="dxa"/>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left"/>
              <w:rPr>
                <w:rStyle w:val="font91"/>
                <w:rFonts w:eastAsia="仿宋"/>
                <w:sz w:val="28"/>
                <w:szCs w:val="28"/>
              </w:rPr>
            </w:pPr>
            <w:r>
              <w:rPr>
                <w:rStyle w:val="font91"/>
                <w:rFonts w:eastAsia="仿宋"/>
                <w:sz w:val="28"/>
                <w:szCs w:val="28"/>
              </w:rPr>
              <w:t>7~12</w:t>
            </w:r>
            <w:r>
              <w:rPr>
                <w:rStyle w:val="font91"/>
                <w:rFonts w:eastAsia="仿宋"/>
                <w:sz w:val="28"/>
                <w:szCs w:val="28"/>
              </w:rPr>
              <w:t>个月</w:t>
            </w:r>
          </w:p>
        </w:tc>
        <w:tc>
          <w:tcPr>
            <w:tcW w:w="1615" w:type="dxa"/>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left"/>
              <w:rPr>
                <w:rStyle w:val="font91"/>
                <w:rFonts w:eastAsia="仿宋"/>
                <w:sz w:val="28"/>
                <w:szCs w:val="28"/>
              </w:rPr>
            </w:pPr>
            <w:r>
              <w:rPr>
                <w:rStyle w:val="font91"/>
                <w:rFonts w:eastAsia="仿宋"/>
                <w:sz w:val="28"/>
                <w:szCs w:val="28"/>
              </w:rPr>
              <w:t>4~6</w:t>
            </w:r>
            <w:r>
              <w:rPr>
                <w:rStyle w:val="font91"/>
                <w:rFonts w:eastAsia="仿宋"/>
                <w:sz w:val="28"/>
                <w:szCs w:val="28"/>
              </w:rPr>
              <w:t>个月</w:t>
            </w:r>
          </w:p>
        </w:tc>
        <w:tc>
          <w:tcPr>
            <w:tcW w:w="1814" w:type="dxa"/>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left"/>
              <w:rPr>
                <w:rStyle w:val="font91"/>
                <w:rFonts w:eastAsia="仿宋"/>
                <w:sz w:val="28"/>
                <w:szCs w:val="28"/>
              </w:rPr>
            </w:pPr>
            <w:r>
              <w:rPr>
                <w:rStyle w:val="font91"/>
                <w:rFonts w:eastAsia="仿宋"/>
                <w:sz w:val="28"/>
                <w:szCs w:val="28"/>
              </w:rPr>
              <w:t>7~12</w:t>
            </w:r>
            <w:r>
              <w:rPr>
                <w:rStyle w:val="font91"/>
                <w:rFonts w:eastAsia="仿宋"/>
                <w:sz w:val="28"/>
                <w:szCs w:val="28"/>
              </w:rPr>
              <w:t>个月</w:t>
            </w:r>
          </w:p>
        </w:tc>
        <w:tc>
          <w:tcPr>
            <w:tcW w:w="1615" w:type="dxa"/>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left"/>
              <w:rPr>
                <w:rStyle w:val="font91"/>
                <w:rFonts w:eastAsia="仿宋"/>
                <w:sz w:val="28"/>
                <w:szCs w:val="28"/>
              </w:rPr>
            </w:pPr>
            <w:r>
              <w:rPr>
                <w:rStyle w:val="font91"/>
                <w:rFonts w:eastAsia="仿宋"/>
                <w:sz w:val="28"/>
                <w:szCs w:val="28"/>
              </w:rPr>
              <w:t>4~6</w:t>
            </w:r>
            <w:r>
              <w:rPr>
                <w:rStyle w:val="font91"/>
                <w:rFonts w:eastAsia="仿宋"/>
                <w:sz w:val="28"/>
                <w:szCs w:val="28"/>
              </w:rPr>
              <w:t>个月</w:t>
            </w:r>
          </w:p>
        </w:tc>
      </w:tr>
      <w:tr w:rsidR="00F227A8">
        <w:trPr>
          <w:trHeight w:val="628"/>
          <w:tblCellSpacing w:w="15" w:type="dxa"/>
        </w:trPr>
        <w:tc>
          <w:tcPr>
            <w:tcW w:w="1318" w:type="dxa"/>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left"/>
              <w:rPr>
                <w:rStyle w:val="font91"/>
                <w:rFonts w:eastAsia="仿宋"/>
                <w:sz w:val="28"/>
                <w:szCs w:val="28"/>
              </w:rPr>
            </w:pPr>
            <w:r>
              <w:rPr>
                <w:rStyle w:val="font91"/>
                <w:rFonts w:eastAsia="仿宋"/>
                <w:sz w:val="28"/>
                <w:szCs w:val="28"/>
              </w:rPr>
              <w:t>江苏省</w:t>
            </w:r>
          </w:p>
        </w:tc>
        <w:tc>
          <w:tcPr>
            <w:tcW w:w="1814" w:type="dxa"/>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left"/>
              <w:rPr>
                <w:rStyle w:val="font91"/>
                <w:rFonts w:eastAsia="仿宋"/>
                <w:sz w:val="28"/>
                <w:szCs w:val="28"/>
              </w:rPr>
            </w:pPr>
            <w:r>
              <w:rPr>
                <w:rStyle w:val="font91"/>
                <w:rFonts w:eastAsia="仿宋"/>
                <w:sz w:val="28"/>
                <w:szCs w:val="28"/>
              </w:rPr>
              <w:t>40</w:t>
            </w:r>
            <w:r>
              <w:rPr>
                <w:rStyle w:val="font91"/>
                <w:rFonts w:eastAsia="仿宋"/>
                <w:sz w:val="28"/>
                <w:szCs w:val="28"/>
              </w:rPr>
              <w:t>，</w:t>
            </w:r>
            <w:r>
              <w:rPr>
                <w:rStyle w:val="font91"/>
                <w:rFonts w:eastAsia="仿宋"/>
                <w:sz w:val="28"/>
                <w:szCs w:val="28"/>
              </w:rPr>
              <w:t>000</w:t>
            </w:r>
          </w:p>
        </w:tc>
        <w:tc>
          <w:tcPr>
            <w:tcW w:w="1615" w:type="dxa"/>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left"/>
              <w:rPr>
                <w:rStyle w:val="font91"/>
                <w:rFonts w:eastAsia="仿宋"/>
                <w:sz w:val="28"/>
                <w:szCs w:val="28"/>
              </w:rPr>
            </w:pPr>
            <w:r>
              <w:rPr>
                <w:rStyle w:val="font91"/>
                <w:rFonts w:eastAsia="仿宋"/>
                <w:sz w:val="28"/>
                <w:szCs w:val="28"/>
              </w:rPr>
              <w:t>20</w:t>
            </w:r>
            <w:r>
              <w:rPr>
                <w:rStyle w:val="font91"/>
                <w:rFonts w:eastAsia="仿宋"/>
                <w:sz w:val="28"/>
                <w:szCs w:val="28"/>
              </w:rPr>
              <w:t>，</w:t>
            </w:r>
            <w:r>
              <w:rPr>
                <w:rStyle w:val="font91"/>
                <w:rFonts w:eastAsia="仿宋"/>
                <w:sz w:val="28"/>
                <w:szCs w:val="28"/>
              </w:rPr>
              <w:t>000</w:t>
            </w:r>
          </w:p>
        </w:tc>
        <w:tc>
          <w:tcPr>
            <w:tcW w:w="1814" w:type="dxa"/>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left"/>
              <w:rPr>
                <w:rStyle w:val="font91"/>
                <w:rFonts w:eastAsia="仿宋"/>
                <w:sz w:val="28"/>
                <w:szCs w:val="28"/>
              </w:rPr>
            </w:pPr>
            <w:r>
              <w:rPr>
                <w:rStyle w:val="font91"/>
                <w:rFonts w:eastAsia="仿宋"/>
                <w:sz w:val="28"/>
                <w:szCs w:val="28"/>
              </w:rPr>
              <w:t>20</w:t>
            </w:r>
            <w:r>
              <w:rPr>
                <w:rStyle w:val="font91"/>
                <w:rFonts w:eastAsia="仿宋"/>
                <w:sz w:val="28"/>
                <w:szCs w:val="28"/>
              </w:rPr>
              <w:t>，</w:t>
            </w:r>
            <w:r>
              <w:rPr>
                <w:rStyle w:val="font91"/>
                <w:rFonts w:eastAsia="仿宋"/>
                <w:sz w:val="28"/>
                <w:szCs w:val="28"/>
              </w:rPr>
              <w:t>000</w:t>
            </w:r>
          </w:p>
        </w:tc>
        <w:tc>
          <w:tcPr>
            <w:tcW w:w="1615" w:type="dxa"/>
            <w:tcBorders>
              <w:top w:val="outset" w:sz="6" w:space="0" w:color="auto"/>
              <w:left w:val="outset" w:sz="6" w:space="0" w:color="auto"/>
              <w:bottom w:val="outset" w:sz="6" w:space="0" w:color="auto"/>
              <w:right w:val="outset" w:sz="6" w:space="0" w:color="auto"/>
            </w:tcBorders>
            <w:vAlign w:val="center"/>
          </w:tcPr>
          <w:p w:rsidR="00F227A8" w:rsidRDefault="00D9733D">
            <w:pPr>
              <w:spacing w:beforeLines="50" w:before="156" w:line="240" w:lineRule="atLeast"/>
              <w:jc w:val="left"/>
              <w:rPr>
                <w:rStyle w:val="font91"/>
                <w:rFonts w:eastAsia="仿宋"/>
                <w:sz w:val="28"/>
                <w:szCs w:val="28"/>
              </w:rPr>
            </w:pPr>
            <w:r>
              <w:rPr>
                <w:rStyle w:val="font91"/>
                <w:rFonts w:eastAsia="仿宋"/>
                <w:sz w:val="28"/>
                <w:szCs w:val="28"/>
              </w:rPr>
              <w:t>10</w:t>
            </w:r>
            <w:r>
              <w:rPr>
                <w:rStyle w:val="font91"/>
                <w:rFonts w:eastAsia="仿宋"/>
                <w:sz w:val="28"/>
                <w:szCs w:val="28"/>
              </w:rPr>
              <w:t>，</w:t>
            </w:r>
            <w:r>
              <w:rPr>
                <w:rStyle w:val="font91"/>
                <w:rFonts w:eastAsia="仿宋"/>
                <w:sz w:val="28"/>
                <w:szCs w:val="28"/>
              </w:rPr>
              <w:t>000</w:t>
            </w:r>
          </w:p>
        </w:tc>
      </w:tr>
      <w:bookmarkEnd w:id="0"/>
      <w:bookmarkEnd w:id="1"/>
    </w:tbl>
    <w:p w:rsidR="00F227A8" w:rsidRDefault="00F227A8"/>
    <w:sectPr w:rsidR="00F22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EF3A42"/>
    <w:multiLevelType w:val="singleLevel"/>
    <w:tmpl w:val="CFEF3A42"/>
    <w:lvl w:ilvl="0">
      <w:start w:val="1"/>
      <w:numFmt w:val="chineseCounting"/>
      <w:suff w:val="space"/>
      <w:lvlText w:val="%1、"/>
      <w:lvlJc w:val="left"/>
      <w:rPr>
        <w:rFonts w:hint="eastAsia"/>
      </w:rPr>
    </w:lvl>
  </w:abstractNum>
  <w:abstractNum w:abstractNumId="1" w15:restartNumberingAfterBreak="0">
    <w:nsid w:val="0EC6FEA2"/>
    <w:multiLevelType w:val="singleLevel"/>
    <w:tmpl w:val="0EC6FEA2"/>
    <w:lvl w:ilvl="0">
      <w:start w:val="1"/>
      <w:numFmt w:val="decimal"/>
      <w:suff w:val="space"/>
      <w:lvlText w:val="%1."/>
      <w:lvlJc w:val="left"/>
    </w:lvl>
  </w:abstractNum>
  <w:abstractNum w:abstractNumId="2" w15:restartNumberingAfterBreak="0">
    <w:nsid w:val="5F1F368B"/>
    <w:multiLevelType w:val="singleLevel"/>
    <w:tmpl w:val="5F1F368B"/>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E7FDC"/>
    <w:rsid w:val="00D9733D"/>
    <w:rsid w:val="00F227A8"/>
    <w:rsid w:val="3E9E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AF1714-8D79-4A6A-9463-EC3FE2AA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pPr>
      <w:widowControl w:val="0"/>
      <w:tabs>
        <w:tab w:val="center" w:pos="4153"/>
        <w:tab w:val="right" w:pos="8306"/>
      </w:tabs>
      <w:snapToGrid w:val="0"/>
    </w:pPr>
    <w:rPr>
      <w:kern w:val="2"/>
      <w:sz w:val="18"/>
      <w:szCs w:val="18"/>
    </w:rPr>
  </w:style>
  <w:style w:type="character" w:customStyle="1" w:styleId="font91">
    <w:name w:val="font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贾 玉梅</cp:lastModifiedBy>
  <cp:revision>3</cp:revision>
  <dcterms:created xsi:type="dcterms:W3CDTF">2019-07-23T07:44:00Z</dcterms:created>
  <dcterms:modified xsi:type="dcterms:W3CDTF">2019-09-05T01:47:00Z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